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tblpY="1135"/>
        <w:tblW w:w="936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720"/>
        <w:gridCol w:w="2990"/>
        <w:gridCol w:w="3650"/>
      </w:tblGrid>
      <w:tr w:rsidR="00012D04" w:rsidRPr="00180A03" w14:paraId="00E69E44" w14:textId="77777777" w:rsidTr="00320CAD">
        <w:trPr>
          <w:trHeight w:val="1386"/>
        </w:trPr>
        <w:tc>
          <w:tcPr>
            <w:tcW w:w="2780" w:type="dxa"/>
            <w:shd w:val="clear" w:color="auto" w:fill="auto"/>
            <w:vAlign w:val="center"/>
          </w:tcPr>
          <w:p w14:paraId="098F8A05" w14:textId="77777777" w:rsidR="00012D04" w:rsidRPr="00012D04" w:rsidRDefault="00012D04" w:rsidP="00E37EBD">
            <w:pPr>
              <w:pStyle w:val="ContactInformation"/>
              <w:jc w:val="center"/>
              <w:rPr>
                <w:b/>
                <w:bCs/>
              </w:rPr>
            </w:pPr>
            <w:r w:rsidRPr="00012D04">
              <w:rPr>
                <w:b/>
                <w:bCs/>
              </w:rPr>
              <w:t>Water Sports Foundation, Inc.</w:t>
            </w:r>
          </w:p>
          <w:p w14:paraId="62AEA480" w14:textId="77777777" w:rsidR="00012D04" w:rsidRPr="00CC70D2" w:rsidRDefault="00012D04" w:rsidP="00E37EBD">
            <w:pPr>
              <w:pStyle w:val="ContactInformation"/>
              <w:jc w:val="center"/>
            </w:pPr>
            <w:r>
              <w:t>Division of WSIA</w:t>
            </w:r>
          </w:p>
          <w:p w14:paraId="6DB6FA13" w14:textId="77777777" w:rsidR="00012D04" w:rsidRDefault="00012D04" w:rsidP="00012D04">
            <w:pPr>
              <w:pStyle w:val="ContactInformation"/>
              <w:jc w:val="center"/>
            </w:pPr>
            <w:r>
              <w:t>P.O Box 568512</w:t>
            </w:r>
          </w:p>
          <w:p w14:paraId="1FA4AAA8" w14:textId="77777777" w:rsidR="00012D04" w:rsidRDefault="00012D04" w:rsidP="00012D04">
            <w:pPr>
              <w:pStyle w:val="ContactInformation"/>
              <w:jc w:val="center"/>
            </w:pPr>
            <w:r>
              <w:t>Orlando, FL 32856-8512</w:t>
            </w:r>
          </w:p>
          <w:p w14:paraId="60E9B5AA" w14:textId="36C1EFD2" w:rsidR="00012D04" w:rsidRPr="00CC70D2" w:rsidRDefault="00012D04" w:rsidP="00E37EBD">
            <w:pPr>
              <w:pStyle w:val="ContactInformation"/>
              <w:jc w:val="center"/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0EB1B92" w14:textId="7B81E983" w:rsidR="00012D04" w:rsidRPr="00CC70D2" w:rsidRDefault="00012D04" w:rsidP="00E37EBD">
            <w:pPr>
              <w:pStyle w:val="ContactInformation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524888" wp14:editId="1C5705F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-981710</wp:posOffset>
                  </wp:positionV>
                  <wp:extent cx="1743075" cy="885825"/>
                  <wp:effectExtent l="0" t="0" r="9525" b="9525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11" b="7778"/>
                          <a:stretch/>
                        </pic:blipFill>
                        <pic:spPr bwMode="auto">
                          <a:xfrm>
                            <a:off x="0" y="0"/>
                            <a:ext cx="17430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36A6547" w14:textId="77777777" w:rsidR="00012D04" w:rsidRDefault="00012D04" w:rsidP="00E37EBD">
            <w:pPr>
              <w:pStyle w:val="ContactInformation"/>
              <w:jc w:val="center"/>
            </w:pPr>
          </w:p>
          <w:p w14:paraId="7E400020" w14:textId="5FAFEF73" w:rsidR="00012D04" w:rsidRDefault="00012D04" w:rsidP="00E37EBD">
            <w:pPr>
              <w:pStyle w:val="ContactInformation"/>
              <w:jc w:val="center"/>
            </w:pPr>
          </w:p>
          <w:p w14:paraId="73B504F7" w14:textId="77777777" w:rsidR="00012D04" w:rsidRDefault="00012D04" w:rsidP="00012D04">
            <w:pPr>
              <w:pStyle w:val="ContactInformation"/>
              <w:jc w:val="center"/>
            </w:pPr>
          </w:p>
          <w:p w14:paraId="5BB058E9" w14:textId="2166A46E" w:rsidR="00012D04" w:rsidRDefault="00012D04" w:rsidP="00012D04">
            <w:pPr>
              <w:pStyle w:val="ContactInformation"/>
              <w:jc w:val="center"/>
              <w:rPr>
                <w:color w:val="002060"/>
              </w:rPr>
            </w:pPr>
            <w:r>
              <w:rPr>
                <w:color w:val="002060"/>
              </w:rPr>
              <w:t>Wanda Kenton Smith</w:t>
            </w:r>
          </w:p>
          <w:p w14:paraId="79BED0D8" w14:textId="03A2A8AF" w:rsidR="00012D04" w:rsidRDefault="00012D04" w:rsidP="00012D04">
            <w:pPr>
              <w:pStyle w:val="ContactInformation"/>
              <w:jc w:val="center"/>
              <w:rPr>
                <w:color w:val="002060"/>
              </w:rPr>
            </w:pPr>
            <w:r>
              <w:rPr>
                <w:color w:val="002060"/>
              </w:rPr>
              <w:t>Director of Communications</w:t>
            </w:r>
          </w:p>
          <w:p w14:paraId="122DFD85" w14:textId="68A634E6" w:rsidR="00012D04" w:rsidRDefault="00F8185F" w:rsidP="00012D04">
            <w:pPr>
              <w:pStyle w:val="ContactInformation"/>
              <w:jc w:val="center"/>
              <w:rPr>
                <w:color w:val="002060"/>
              </w:rPr>
            </w:pPr>
            <w:hyperlink r:id="rId6" w:history="1">
              <w:r w:rsidR="00012D04" w:rsidRPr="00832591">
                <w:rPr>
                  <w:rStyle w:val="Hyperlink"/>
                </w:rPr>
                <w:t>wanda@WaterSportsFoundation.com</w:t>
              </w:r>
            </w:hyperlink>
            <w:r w:rsidR="00012D04">
              <w:rPr>
                <w:color w:val="002060"/>
              </w:rPr>
              <w:t xml:space="preserve"> </w:t>
            </w:r>
          </w:p>
          <w:p w14:paraId="4B484FC5" w14:textId="53B303A7" w:rsidR="00012D04" w:rsidRPr="00426961" w:rsidRDefault="00012D04" w:rsidP="00012D04">
            <w:pPr>
              <w:pStyle w:val="ContactInformation"/>
              <w:jc w:val="center"/>
              <w:rPr>
                <w:color w:val="002060"/>
              </w:rPr>
            </w:pPr>
            <w:r>
              <w:rPr>
                <w:color w:val="002060"/>
              </w:rPr>
              <w:t>407.697.8055</w:t>
            </w:r>
          </w:p>
          <w:p w14:paraId="174FB824" w14:textId="77777777" w:rsidR="00012D04" w:rsidRPr="00426961" w:rsidRDefault="00012D04" w:rsidP="00012D04">
            <w:pPr>
              <w:pStyle w:val="ContactInformation"/>
              <w:jc w:val="center"/>
              <w:rPr>
                <w:b/>
                <w:bCs/>
                <w:color w:val="002060"/>
              </w:rPr>
            </w:pPr>
            <w:r w:rsidRPr="00426961">
              <w:rPr>
                <w:b/>
                <w:bCs/>
                <w:color w:val="002060"/>
              </w:rPr>
              <w:t>National Boating Safety Media Center:</w:t>
            </w:r>
          </w:p>
          <w:p w14:paraId="6857FA38" w14:textId="64DA1FB8" w:rsidR="00012D04" w:rsidRPr="00426961" w:rsidRDefault="00F8185F" w:rsidP="00012D04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7" w:history="1">
              <w:r w:rsidR="00012D04" w:rsidRPr="00832591">
                <w:rPr>
                  <w:rStyle w:val="Hyperlink"/>
                  <w:rFonts w:eastAsia="Times New Roman"/>
                  <w:sz w:val="20"/>
                  <w:szCs w:val="20"/>
                </w:rPr>
                <w:t>www.watersportsfoundation.com/media/</w:t>
              </w:r>
            </w:hyperlink>
          </w:p>
          <w:p w14:paraId="12271894" w14:textId="15A007D8" w:rsidR="00012D04" w:rsidRPr="00180A03" w:rsidRDefault="00012D04" w:rsidP="00E37EBD">
            <w:pPr>
              <w:pStyle w:val="Heading2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466168D9" w14:textId="77777777" w:rsidR="00320CAD" w:rsidRDefault="00320CAD" w:rsidP="00E060CF">
      <w:pPr>
        <w:pStyle w:val="Heading1"/>
        <w:spacing w:after="0" w:line="240" w:lineRule="auto"/>
        <w:rPr>
          <w:rFonts w:ascii="Century Gothic" w:eastAsia="Times New Roman" w:hAnsi="Century Gothic"/>
          <w:sz w:val="32"/>
          <w:szCs w:val="32"/>
        </w:rPr>
      </w:pPr>
    </w:p>
    <w:p w14:paraId="01FD87E3" w14:textId="71362CCB" w:rsidR="00012D04" w:rsidRPr="00E060CF" w:rsidRDefault="00E060CF" w:rsidP="00E060CF">
      <w:pPr>
        <w:pStyle w:val="Heading1"/>
        <w:spacing w:after="0" w:line="240" w:lineRule="auto"/>
        <w:rPr>
          <w:rFonts w:ascii="Century Gothic" w:eastAsia="Times New Roman" w:hAnsi="Century Gothic"/>
          <w:sz w:val="32"/>
          <w:szCs w:val="32"/>
        </w:rPr>
      </w:pPr>
      <w:r w:rsidRPr="00E060CF">
        <w:rPr>
          <w:rFonts w:ascii="Century Gothic" w:eastAsia="Times New Roman" w:hAnsi="Century Gothic"/>
          <w:sz w:val="32"/>
          <w:szCs w:val="32"/>
        </w:rPr>
        <w:t>Water Sports Foundation Media Fact Sheet</w:t>
      </w:r>
      <w:r w:rsidR="00BC54C4">
        <w:rPr>
          <w:rFonts w:ascii="Century Gothic" w:eastAsia="Times New Roman" w:hAnsi="Century Gothic"/>
          <w:sz w:val="32"/>
          <w:szCs w:val="32"/>
        </w:rPr>
        <w:t xml:space="preserve">: </w:t>
      </w:r>
      <w:r w:rsidRPr="00E060CF">
        <w:rPr>
          <w:rFonts w:ascii="Century Gothic" w:eastAsia="Times New Roman" w:hAnsi="Century Gothic"/>
          <w:sz w:val="32"/>
          <w:szCs w:val="32"/>
        </w:rPr>
        <w:t>Boating Safety</w:t>
      </w:r>
    </w:p>
    <w:p w14:paraId="78C33503" w14:textId="77777777" w:rsidR="00772FAE" w:rsidRPr="00320CAD" w:rsidRDefault="00E060CF" w:rsidP="00E060CF">
      <w:pPr>
        <w:pStyle w:val="BodyText"/>
        <w:spacing w:before="0" w:beforeAutospacing="0"/>
        <w:rPr>
          <w:b/>
          <w:bCs/>
          <w:i/>
          <w:iCs/>
          <w:sz w:val="22"/>
          <w:szCs w:val="22"/>
        </w:rPr>
      </w:pPr>
      <w:r w:rsidRPr="00320CAD">
        <w:rPr>
          <w:b/>
          <w:bCs/>
          <w:i/>
          <w:iCs/>
          <w:sz w:val="22"/>
          <w:szCs w:val="22"/>
        </w:rPr>
        <w:t xml:space="preserve">Information curated from multiple boating safety stakeholders </w:t>
      </w:r>
      <w:proofErr w:type="gramStart"/>
      <w:r w:rsidRPr="00320CAD">
        <w:rPr>
          <w:b/>
          <w:bCs/>
          <w:i/>
          <w:iCs/>
          <w:sz w:val="22"/>
          <w:szCs w:val="22"/>
        </w:rPr>
        <w:t>using</w:t>
      </w:r>
      <w:proofErr w:type="gramEnd"/>
    </w:p>
    <w:p w14:paraId="5B432CA6" w14:textId="2E7C0DDE" w:rsidR="00E060CF" w:rsidRPr="00320CAD" w:rsidRDefault="00E060CF" w:rsidP="00E060CF">
      <w:pPr>
        <w:pStyle w:val="BodyText"/>
        <w:spacing w:before="0" w:beforeAutospacing="0"/>
        <w:rPr>
          <w:b/>
          <w:bCs/>
          <w:i/>
          <w:iCs/>
          <w:sz w:val="22"/>
          <w:szCs w:val="22"/>
        </w:rPr>
      </w:pPr>
      <w:r w:rsidRPr="00320CAD">
        <w:rPr>
          <w:b/>
          <w:bCs/>
          <w:i/>
          <w:iCs/>
          <w:sz w:val="22"/>
          <w:szCs w:val="22"/>
        </w:rPr>
        <w:t xml:space="preserve"> most recent</w:t>
      </w:r>
      <w:r w:rsidR="007D1C7F" w:rsidRPr="00320CAD">
        <w:rPr>
          <w:b/>
          <w:bCs/>
          <w:i/>
          <w:iCs/>
          <w:sz w:val="22"/>
          <w:szCs w:val="22"/>
        </w:rPr>
        <w:t xml:space="preserve">ly published </w:t>
      </w:r>
      <w:r w:rsidRPr="00320CAD">
        <w:rPr>
          <w:b/>
          <w:bCs/>
          <w:i/>
          <w:iCs/>
          <w:sz w:val="22"/>
          <w:szCs w:val="22"/>
        </w:rPr>
        <w:t xml:space="preserve">2019 </w:t>
      </w:r>
      <w:r w:rsidR="007D1C7F" w:rsidRPr="00320CAD">
        <w:rPr>
          <w:b/>
          <w:bCs/>
          <w:i/>
          <w:iCs/>
          <w:sz w:val="22"/>
          <w:szCs w:val="22"/>
        </w:rPr>
        <w:t xml:space="preserve">U.S. Coast Guard </w:t>
      </w:r>
      <w:r w:rsidRPr="00320CAD">
        <w:rPr>
          <w:b/>
          <w:bCs/>
          <w:i/>
          <w:iCs/>
          <w:sz w:val="22"/>
          <w:szCs w:val="22"/>
        </w:rPr>
        <w:t>Data</w:t>
      </w:r>
    </w:p>
    <w:p w14:paraId="5945DEC7" w14:textId="688051FB" w:rsidR="00527C3E" w:rsidRDefault="00527C3E" w:rsidP="0078421A">
      <w:pPr>
        <w:spacing w:after="0" w:line="240" w:lineRule="auto"/>
        <w:textAlignment w:val="baseline"/>
      </w:pPr>
    </w:p>
    <w:p w14:paraId="7CCAD5F7" w14:textId="58E6B012" w:rsidR="00E060CF" w:rsidRDefault="00E060CF" w:rsidP="00320CA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color w:val="002060"/>
        </w:rPr>
      </w:pPr>
      <w:r w:rsidRPr="00320CAD">
        <w:rPr>
          <w:rFonts w:ascii="Century Gothic" w:eastAsia="Times New Roman" w:hAnsi="Century Gothic" w:cs="Times New Roman"/>
          <w:b/>
          <w:bCs/>
          <w:color w:val="002060"/>
          <w:u w:val="single"/>
        </w:rPr>
        <w:t xml:space="preserve">11,878, 542 registered recreational vessels in the United </w:t>
      </w:r>
      <w:r w:rsidR="007D1C7F" w:rsidRPr="00320CAD">
        <w:rPr>
          <w:rFonts w:ascii="Century Gothic" w:eastAsia="Times New Roman" w:hAnsi="Century Gothic" w:cs="Times New Roman"/>
          <w:b/>
          <w:bCs/>
          <w:color w:val="002060"/>
          <w:u w:val="single"/>
        </w:rPr>
        <w:t>S</w:t>
      </w:r>
      <w:r w:rsidRPr="00320CAD">
        <w:rPr>
          <w:rFonts w:ascii="Century Gothic" w:eastAsia="Times New Roman" w:hAnsi="Century Gothic" w:cs="Times New Roman"/>
          <w:b/>
          <w:bCs/>
          <w:color w:val="002060"/>
          <w:u w:val="single"/>
        </w:rPr>
        <w:t>tates</w:t>
      </w:r>
      <w:r w:rsidRPr="00320CAD">
        <w:rPr>
          <w:rFonts w:ascii="Century Gothic" w:eastAsia="Times New Roman" w:hAnsi="Century Gothic" w:cs="Arial"/>
          <w:b/>
          <w:bCs/>
          <w:color w:val="002060"/>
        </w:rPr>
        <w:t xml:space="preserve"> </w:t>
      </w:r>
    </w:p>
    <w:p w14:paraId="24FD799C" w14:textId="77777777" w:rsidR="00320CAD" w:rsidRPr="00320CAD" w:rsidRDefault="00320CAD" w:rsidP="00320CAD">
      <w:pPr>
        <w:spacing w:after="0" w:line="240" w:lineRule="auto"/>
        <w:ind w:left="360"/>
        <w:textAlignment w:val="baseline"/>
        <w:rPr>
          <w:rFonts w:ascii="Century Gothic" w:eastAsia="Times New Roman" w:hAnsi="Century Gothic" w:cs="Arial"/>
          <w:b/>
          <w:bCs/>
          <w:color w:val="002060"/>
        </w:rPr>
      </w:pPr>
    </w:p>
    <w:p w14:paraId="3593A7E8" w14:textId="39E58962" w:rsidR="00E060CF" w:rsidRPr="00320CAD" w:rsidRDefault="00E060CF" w:rsidP="00320CA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color w:val="002060"/>
        </w:rPr>
      </w:pPr>
      <w:r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 xml:space="preserve">In 2019, the </w:t>
      </w:r>
      <w:r w:rsidR="007D1C7F"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 xml:space="preserve">U.S. </w:t>
      </w:r>
      <w:r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>Coast Guard reported</w:t>
      </w:r>
      <w:r w:rsidRPr="00320CAD">
        <w:rPr>
          <w:rFonts w:ascii="Century Gothic" w:eastAsia="Times New Roman" w:hAnsi="Century Gothic" w:cs="Arial"/>
          <w:b/>
          <w:bCs/>
          <w:color w:val="002060"/>
        </w:rPr>
        <w:t>:</w:t>
      </w:r>
    </w:p>
    <w:p w14:paraId="7C9D3111" w14:textId="44EEE04E" w:rsidR="00E060CF" w:rsidRPr="00320CAD" w:rsidRDefault="00E060CF" w:rsidP="00320CAD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4,168 accidents that involved 613 deaths</w:t>
      </w:r>
      <w:r w:rsidR="007D1C7F" w:rsidRPr="00320CAD">
        <w:rPr>
          <w:rFonts w:ascii="Century Gothic" w:eastAsia="Times New Roman" w:hAnsi="Century Gothic" w:cs="Arial"/>
          <w:color w:val="353535"/>
        </w:rPr>
        <w:t>.</w:t>
      </w:r>
    </w:p>
    <w:p w14:paraId="35704573" w14:textId="3E89BB9A" w:rsidR="00E060CF" w:rsidRPr="00320CAD" w:rsidRDefault="00E060CF" w:rsidP="00320CAD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2,559 injuries</w:t>
      </w:r>
      <w:r w:rsidR="007D1C7F" w:rsidRPr="00320CAD">
        <w:rPr>
          <w:rFonts w:ascii="Century Gothic" w:eastAsia="Times New Roman" w:hAnsi="Century Gothic" w:cs="Arial"/>
          <w:color w:val="353535"/>
        </w:rPr>
        <w:t>.</w:t>
      </w:r>
    </w:p>
    <w:p w14:paraId="2F251263" w14:textId="7C8CB2C6" w:rsidR="00E060CF" w:rsidRDefault="00E060CF" w:rsidP="00320CAD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 xml:space="preserve">$55 million dollars of damage to property </w:t>
      </w:r>
      <w:r w:rsidR="00772FAE" w:rsidRPr="00320CAD">
        <w:rPr>
          <w:rFonts w:ascii="Century Gothic" w:eastAsia="Times New Roman" w:hAnsi="Century Gothic" w:cs="Arial"/>
          <w:color w:val="353535"/>
        </w:rPr>
        <w:t xml:space="preserve">from </w:t>
      </w:r>
      <w:r w:rsidRPr="00320CAD">
        <w:rPr>
          <w:rFonts w:ascii="Century Gothic" w:eastAsia="Times New Roman" w:hAnsi="Century Gothic" w:cs="Arial"/>
          <w:color w:val="353535"/>
        </w:rPr>
        <w:t>recreational boating accidents</w:t>
      </w:r>
      <w:r w:rsidR="007D1C7F" w:rsidRPr="00320CAD">
        <w:rPr>
          <w:rFonts w:ascii="Century Gothic" w:eastAsia="Times New Roman" w:hAnsi="Century Gothic" w:cs="Arial"/>
          <w:color w:val="353535"/>
        </w:rPr>
        <w:t>.</w:t>
      </w:r>
    </w:p>
    <w:p w14:paraId="3CB34533" w14:textId="77777777" w:rsidR="00320CAD" w:rsidRPr="00320CAD" w:rsidRDefault="00320CAD" w:rsidP="00320CAD">
      <w:pPr>
        <w:spacing w:after="0" w:line="240" w:lineRule="auto"/>
        <w:ind w:left="720"/>
        <w:textAlignment w:val="baseline"/>
        <w:rPr>
          <w:rFonts w:ascii="Century Gothic" w:eastAsia="Times New Roman" w:hAnsi="Century Gothic" w:cs="Arial"/>
          <w:color w:val="353535"/>
        </w:rPr>
      </w:pPr>
    </w:p>
    <w:p w14:paraId="127711E3" w14:textId="7F92317D" w:rsidR="00772FAE" w:rsidRPr="00320CAD" w:rsidRDefault="00772FAE" w:rsidP="00320CAD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color w:val="002060"/>
        </w:rPr>
      </w:pPr>
      <w:r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>Drowning</w:t>
      </w:r>
    </w:p>
    <w:p w14:paraId="6DF090DB" w14:textId="74FE3C46" w:rsidR="00E060CF" w:rsidRPr="00320CAD" w:rsidRDefault="00E060CF" w:rsidP="00320CA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Where cause of death was known</w:t>
      </w:r>
      <w:r w:rsidR="00772FAE" w:rsidRPr="00320CAD">
        <w:rPr>
          <w:rFonts w:ascii="Century Gothic" w:eastAsia="Times New Roman" w:hAnsi="Century Gothic" w:cs="Arial"/>
          <w:color w:val="353535"/>
        </w:rPr>
        <w:t>,</w:t>
      </w:r>
      <w:r w:rsidRPr="00320CAD">
        <w:rPr>
          <w:rFonts w:ascii="Century Gothic" w:eastAsia="Times New Roman" w:hAnsi="Century Gothic" w:cs="Arial"/>
          <w:color w:val="353535"/>
        </w:rPr>
        <w:t xml:space="preserve"> 86% of drowning victims in recreational boating accidents were not wearing </w:t>
      </w:r>
      <w:r w:rsidR="007D1C7F" w:rsidRPr="00320CAD">
        <w:rPr>
          <w:rFonts w:ascii="Century Gothic" w:eastAsia="Times New Roman" w:hAnsi="Century Gothic" w:cs="Arial"/>
          <w:color w:val="353535"/>
        </w:rPr>
        <w:t xml:space="preserve">a </w:t>
      </w:r>
      <w:r w:rsidRPr="00320CAD">
        <w:rPr>
          <w:rFonts w:ascii="Century Gothic" w:eastAsia="Times New Roman" w:hAnsi="Century Gothic" w:cs="Arial"/>
          <w:color w:val="353535"/>
        </w:rPr>
        <w:t>life jacket</w:t>
      </w:r>
      <w:r w:rsidR="007D1C7F" w:rsidRPr="00320CAD">
        <w:rPr>
          <w:rFonts w:ascii="Century Gothic" w:eastAsia="Times New Roman" w:hAnsi="Century Gothic" w:cs="Arial"/>
          <w:color w:val="353535"/>
        </w:rPr>
        <w:t>.</w:t>
      </w:r>
      <w:r w:rsidRPr="00320CAD">
        <w:rPr>
          <w:rFonts w:ascii="Century Gothic" w:eastAsia="Times New Roman" w:hAnsi="Century Gothic" w:cs="Arial"/>
          <w:color w:val="353535"/>
        </w:rPr>
        <w:t xml:space="preserve">  </w:t>
      </w:r>
    </w:p>
    <w:p w14:paraId="5BCC0823" w14:textId="20BF9B2A" w:rsidR="00772FAE" w:rsidRPr="00320CAD" w:rsidRDefault="00772FAE" w:rsidP="00320CA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353535"/>
        </w:rPr>
      </w:pPr>
      <w:r w:rsidRPr="00320CAD">
        <w:rPr>
          <w:rFonts w:ascii="Century Gothic" w:eastAsia="Times New Roman" w:hAnsi="Century Gothic" w:cs="Arial"/>
          <w:i/>
          <w:iCs/>
          <w:color w:val="353535"/>
        </w:rPr>
        <w:t xml:space="preserve">Drowning is the reported cause of death in 79% of all boating </w:t>
      </w:r>
      <w:proofErr w:type="gramStart"/>
      <w:r w:rsidRPr="00320CAD">
        <w:rPr>
          <w:rFonts w:ascii="Century Gothic" w:eastAsia="Times New Roman" w:hAnsi="Century Gothic" w:cs="Arial"/>
          <w:i/>
          <w:iCs/>
          <w:color w:val="353535"/>
        </w:rPr>
        <w:t>fatalities</w:t>
      </w:r>
      <w:proofErr w:type="gramEnd"/>
    </w:p>
    <w:p w14:paraId="141F8F4B" w14:textId="1AF6CCE8" w:rsidR="00772FAE" w:rsidRPr="00320CAD" w:rsidRDefault="00772FAE" w:rsidP="00320CA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8 out of every 10 boaters who drowned were using vessels less than 21 feet in length.</w:t>
      </w:r>
    </w:p>
    <w:p w14:paraId="2D6B7DA7" w14:textId="44728553" w:rsidR="000213DE" w:rsidRDefault="000213DE" w:rsidP="00320CAD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</w:rPr>
      </w:pPr>
      <w:r w:rsidRPr="00320CAD">
        <w:rPr>
          <w:rFonts w:ascii="Century Gothic" w:hAnsi="Century Gothic"/>
        </w:rPr>
        <w:t>Nine out of 10 drownings occur on inland waters within a few hundred feet from shore, and half of recreational boating fatalities happen on calm water.</w:t>
      </w:r>
    </w:p>
    <w:p w14:paraId="7871AC26" w14:textId="77777777" w:rsidR="00320CAD" w:rsidRPr="00320CAD" w:rsidRDefault="00320CAD" w:rsidP="00320CAD">
      <w:pPr>
        <w:spacing w:after="0" w:line="240" w:lineRule="auto"/>
        <w:ind w:left="720"/>
        <w:rPr>
          <w:rFonts w:ascii="Century Gothic" w:hAnsi="Century Gothic"/>
        </w:rPr>
      </w:pPr>
    </w:p>
    <w:p w14:paraId="36A482C2" w14:textId="1BFC9D47" w:rsidR="00E060CF" w:rsidRPr="00320CAD" w:rsidRDefault="00E060CF" w:rsidP="00320CAD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color w:val="002060"/>
          <w:u w:val="single"/>
        </w:rPr>
      </w:pPr>
      <w:r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>Boating</w:t>
      </w:r>
      <w:r w:rsidR="007D1C7F"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 xml:space="preserve"> Safety</w:t>
      </w:r>
      <w:r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 xml:space="preserve"> Instruction</w:t>
      </w:r>
    </w:p>
    <w:p w14:paraId="036C356A" w14:textId="77777777" w:rsidR="0078421A" w:rsidRPr="00320CAD" w:rsidRDefault="0078421A" w:rsidP="00320C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Where instruction was known, 70% of deaths occurred on boats where the operator did not receive boating safety instruction.</w:t>
      </w:r>
    </w:p>
    <w:p w14:paraId="6949C633" w14:textId="4B0045CA" w:rsidR="0078421A" w:rsidRDefault="0078421A" w:rsidP="00320CAD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 xml:space="preserve">Where instruction was known, only 20% of deaths occurred on vessels where the operator had received </w:t>
      </w:r>
      <w:proofErr w:type="gramStart"/>
      <w:r w:rsidRPr="00320CAD">
        <w:rPr>
          <w:rFonts w:ascii="Century Gothic" w:eastAsia="Times New Roman" w:hAnsi="Century Gothic" w:cs="Arial"/>
          <w:color w:val="353535"/>
        </w:rPr>
        <w:t>nationally-approved</w:t>
      </w:r>
      <w:proofErr w:type="gramEnd"/>
      <w:r w:rsidRPr="00320CAD">
        <w:rPr>
          <w:rFonts w:ascii="Century Gothic" w:eastAsia="Times New Roman" w:hAnsi="Century Gothic" w:cs="Arial"/>
          <w:color w:val="353535"/>
        </w:rPr>
        <w:t xml:space="preserve"> boating safety instruction.</w:t>
      </w:r>
    </w:p>
    <w:p w14:paraId="64823889" w14:textId="77777777" w:rsidR="00320CAD" w:rsidRPr="00320CAD" w:rsidRDefault="00320CAD" w:rsidP="00320CAD">
      <w:pPr>
        <w:spacing w:after="0" w:line="240" w:lineRule="auto"/>
        <w:ind w:left="720"/>
        <w:textAlignment w:val="baseline"/>
        <w:rPr>
          <w:rFonts w:ascii="Century Gothic" w:eastAsia="Times New Roman" w:hAnsi="Century Gothic" w:cs="Arial"/>
          <w:color w:val="353535"/>
        </w:rPr>
      </w:pPr>
    </w:p>
    <w:p w14:paraId="2925E94F" w14:textId="6F0F6B10" w:rsidR="007D1C7F" w:rsidRPr="00320CAD" w:rsidRDefault="007D1C7F" w:rsidP="00320CA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color w:val="002060"/>
        </w:rPr>
      </w:pPr>
      <w:r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>Boating Accidents</w:t>
      </w:r>
      <w:r w:rsidRPr="00320CAD">
        <w:rPr>
          <w:rFonts w:ascii="Century Gothic" w:eastAsia="Times New Roman" w:hAnsi="Century Gothic" w:cs="Arial"/>
          <w:b/>
          <w:bCs/>
          <w:color w:val="002060"/>
        </w:rPr>
        <w:t xml:space="preserve"> </w:t>
      </w:r>
    </w:p>
    <w:p w14:paraId="092A4E7A" w14:textId="6B48CDE7" w:rsidR="00772FAE" w:rsidRPr="00320CAD" w:rsidRDefault="007D1C7F" w:rsidP="00320CAD">
      <w:pPr>
        <w:spacing w:after="0" w:line="240" w:lineRule="auto"/>
        <w:ind w:left="360"/>
        <w:textAlignment w:val="baseline"/>
        <w:rPr>
          <w:rFonts w:ascii="Century Gothic" w:eastAsia="Times New Roman" w:hAnsi="Century Gothic" w:cs="Arial"/>
          <w:b/>
          <w:bCs/>
          <w:color w:val="353535"/>
        </w:rPr>
      </w:pPr>
      <w:r w:rsidRPr="00320CAD">
        <w:rPr>
          <w:rFonts w:ascii="Century Gothic" w:eastAsia="Times New Roman" w:hAnsi="Century Gothic" w:cs="Arial"/>
          <w:b/>
          <w:bCs/>
          <w:color w:val="353535"/>
        </w:rPr>
        <w:tab/>
      </w:r>
      <w:r w:rsidR="0078421A" w:rsidRPr="00320CAD">
        <w:rPr>
          <w:rFonts w:ascii="Century Gothic" w:eastAsia="Times New Roman" w:hAnsi="Century Gothic" w:cs="Arial"/>
          <w:b/>
          <w:bCs/>
          <w:color w:val="353535"/>
        </w:rPr>
        <w:t xml:space="preserve">The top five primary contributing factors in accidents </w:t>
      </w:r>
      <w:r w:rsidR="00772FAE" w:rsidRPr="00320CAD">
        <w:rPr>
          <w:rFonts w:ascii="Century Gothic" w:eastAsia="Times New Roman" w:hAnsi="Century Gothic" w:cs="Arial"/>
          <w:b/>
          <w:bCs/>
          <w:color w:val="353535"/>
        </w:rPr>
        <w:t>include:</w:t>
      </w:r>
    </w:p>
    <w:p w14:paraId="5EE26068" w14:textId="09964E7A" w:rsidR="00772FAE" w:rsidRPr="00320CAD" w:rsidRDefault="007D1C7F" w:rsidP="00320C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O</w:t>
      </w:r>
      <w:r w:rsidR="0078421A" w:rsidRPr="00320CAD">
        <w:rPr>
          <w:rFonts w:ascii="Century Gothic" w:eastAsia="Times New Roman" w:hAnsi="Century Gothic" w:cs="Arial"/>
          <w:color w:val="353535"/>
        </w:rPr>
        <w:t xml:space="preserve">perator </w:t>
      </w:r>
      <w:r w:rsidRPr="00320CAD">
        <w:rPr>
          <w:rFonts w:ascii="Century Gothic" w:eastAsia="Times New Roman" w:hAnsi="Century Gothic" w:cs="Arial"/>
          <w:color w:val="353535"/>
        </w:rPr>
        <w:t>I</w:t>
      </w:r>
      <w:r w:rsidR="0078421A" w:rsidRPr="00320CAD">
        <w:rPr>
          <w:rFonts w:ascii="Century Gothic" w:eastAsia="Times New Roman" w:hAnsi="Century Gothic" w:cs="Arial"/>
          <w:color w:val="353535"/>
        </w:rPr>
        <w:t>nattention</w:t>
      </w:r>
    </w:p>
    <w:p w14:paraId="0C3D803C" w14:textId="70011775" w:rsidR="00772FAE" w:rsidRPr="00320CAD" w:rsidRDefault="007D1C7F" w:rsidP="00320C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I</w:t>
      </w:r>
      <w:r w:rsidR="0078421A" w:rsidRPr="00320CAD">
        <w:rPr>
          <w:rFonts w:ascii="Century Gothic" w:eastAsia="Times New Roman" w:hAnsi="Century Gothic" w:cs="Arial"/>
          <w:color w:val="353535"/>
        </w:rPr>
        <w:t xml:space="preserve">mproper </w:t>
      </w:r>
      <w:r w:rsidRPr="00320CAD">
        <w:rPr>
          <w:rFonts w:ascii="Century Gothic" w:eastAsia="Times New Roman" w:hAnsi="Century Gothic" w:cs="Arial"/>
          <w:color w:val="353535"/>
        </w:rPr>
        <w:t>L</w:t>
      </w:r>
      <w:r w:rsidR="0078421A" w:rsidRPr="00320CAD">
        <w:rPr>
          <w:rFonts w:ascii="Century Gothic" w:eastAsia="Times New Roman" w:hAnsi="Century Gothic" w:cs="Arial"/>
          <w:color w:val="353535"/>
        </w:rPr>
        <w:t>ookout</w:t>
      </w:r>
    </w:p>
    <w:p w14:paraId="33BB3551" w14:textId="09574FAE" w:rsidR="00772FAE" w:rsidRPr="00320CAD" w:rsidRDefault="007D1C7F" w:rsidP="00320C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O</w:t>
      </w:r>
      <w:r w:rsidR="0078421A" w:rsidRPr="00320CAD">
        <w:rPr>
          <w:rFonts w:ascii="Century Gothic" w:eastAsia="Times New Roman" w:hAnsi="Century Gothic" w:cs="Arial"/>
          <w:color w:val="353535"/>
        </w:rPr>
        <w:t xml:space="preserve">perator </w:t>
      </w:r>
      <w:r w:rsidRPr="00320CAD">
        <w:rPr>
          <w:rFonts w:ascii="Century Gothic" w:eastAsia="Times New Roman" w:hAnsi="Century Gothic" w:cs="Arial"/>
          <w:color w:val="353535"/>
        </w:rPr>
        <w:t>I</w:t>
      </w:r>
      <w:r w:rsidR="0078421A" w:rsidRPr="00320CAD">
        <w:rPr>
          <w:rFonts w:ascii="Century Gothic" w:eastAsia="Times New Roman" w:hAnsi="Century Gothic" w:cs="Arial"/>
          <w:color w:val="353535"/>
        </w:rPr>
        <w:t>nexperience</w:t>
      </w:r>
    </w:p>
    <w:p w14:paraId="3CE466A6" w14:textId="00CDAF8C" w:rsidR="00772FAE" w:rsidRPr="00320CAD" w:rsidRDefault="007D1C7F" w:rsidP="00320C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E</w:t>
      </w:r>
      <w:r w:rsidR="0078421A" w:rsidRPr="00320CAD">
        <w:rPr>
          <w:rFonts w:ascii="Century Gothic" w:eastAsia="Times New Roman" w:hAnsi="Century Gothic" w:cs="Arial"/>
          <w:color w:val="353535"/>
        </w:rPr>
        <w:t xml:space="preserve">xcessive </w:t>
      </w:r>
      <w:r w:rsidRPr="00320CAD">
        <w:rPr>
          <w:rFonts w:ascii="Century Gothic" w:eastAsia="Times New Roman" w:hAnsi="Century Gothic" w:cs="Arial"/>
          <w:color w:val="353535"/>
        </w:rPr>
        <w:t>S</w:t>
      </w:r>
      <w:r w:rsidR="0078421A" w:rsidRPr="00320CAD">
        <w:rPr>
          <w:rFonts w:ascii="Century Gothic" w:eastAsia="Times New Roman" w:hAnsi="Century Gothic" w:cs="Arial"/>
          <w:color w:val="353535"/>
        </w:rPr>
        <w:t>peed</w:t>
      </w:r>
    </w:p>
    <w:p w14:paraId="3BC4E40E" w14:textId="000412A4" w:rsidR="0078421A" w:rsidRPr="00320CAD" w:rsidRDefault="007D1C7F" w:rsidP="00320C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A</w:t>
      </w:r>
      <w:r w:rsidR="0078421A" w:rsidRPr="00320CAD">
        <w:rPr>
          <w:rFonts w:ascii="Century Gothic" w:eastAsia="Times New Roman" w:hAnsi="Century Gothic" w:cs="Arial"/>
          <w:color w:val="353535"/>
        </w:rPr>
        <w:t>lcohol</w:t>
      </w:r>
    </w:p>
    <w:p w14:paraId="38D588A5" w14:textId="0FF3586D" w:rsidR="00772FAE" w:rsidRPr="00320CAD" w:rsidRDefault="00772FAE" w:rsidP="00320C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353535"/>
        </w:rPr>
      </w:pPr>
      <w:r w:rsidRPr="00320CAD">
        <w:rPr>
          <w:rFonts w:ascii="Century Gothic" w:eastAsia="Times New Roman" w:hAnsi="Century Gothic" w:cs="Arial"/>
          <w:b/>
          <w:bCs/>
          <w:color w:val="353535"/>
        </w:rPr>
        <w:t>NOTE:</w:t>
      </w:r>
      <w:r w:rsidRPr="00320CAD">
        <w:rPr>
          <w:rFonts w:ascii="Century Gothic" w:eastAsia="Times New Roman" w:hAnsi="Century Gothic" w:cs="Arial"/>
          <w:color w:val="353535"/>
        </w:rPr>
        <w:t xml:space="preserve"> </w:t>
      </w:r>
      <w:r w:rsidR="007D1C7F" w:rsidRPr="00320CAD">
        <w:rPr>
          <w:rFonts w:ascii="Century Gothic" w:eastAsia="Times New Roman" w:hAnsi="Century Gothic" w:cs="Arial"/>
          <w:color w:val="353535"/>
        </w:rPr>
        <w:t xml:space="preserve"> </w:t>
      </w:r>
      <w:r w:rsidRPr="00320CAD">
        <w:rPr>
          <w:rFonts w:ascii="Century Gothic" w:eastAsia="Times New Roman" w:hAnsi="Century Gothic" w:cs="Arial"/>
          <w:i/>
          <w:iCs/>
          <w:color w:val="353535"/>
        </w:rPr>
        <w:t xml:space="preserve">There were 171 accidents in which at least one person was struck by a propeller. Collectively, these accidents resulted in 35 </w:t>
      </w:r>
      <w:r w:rsidR="007D1C7F" w:rsidRPr="00320CAD">
        <w:rPr>
          <w:rFonts w:ascii="Century Gothic" w:eastAsia="Times New Roman" w:hAnsi="Century Gothic" w:cs="Arial"/>
          <w:i/>
          <w:iCs/>
          <w:color w:val="353535"/>
        </w:rPr>
        <w:t>d</w:t>
      </w:r>
      <w:r w:rsidRPr="00320CAD">
        <w:rPr>
          <w:rFonts w:ascii="Century Gothic" w:eastAsia="Times New Roman" w:hAnsi="Century Gothic" w:cs="Arial"/>
          <w:i/>
          <w:iCs/>
          <w:color w:val="353535"/>
        </w:rPr>
        <w:t>eaths and 155 injuries.</w:t>
      </w:r>
    </w:p>
    <w:p w14:paraId="153906D5" w14:textId="75AE8A90" w:rsidR="007D1C7F" w:rsidRPr="00320CAD" w:rsidRDefault="007D1C7F" w:rsidP="00320CAD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353535"/>
        </w:rPr>
      </w:pPr>
      <w:r w:rsidRPr="00320CAD">
        <w:rPr>
          <w:rFonts w:ascii="Century Gothic" w:eastAsia="Times New Roman" w:hAnsi="Century Gothic" w:cs="Arial"/>
          <w:b/>
          <w:bCs/>
          <w:color w:val="353535"/>
        </w:rPr>
        <w:lastRenderedPageBreak/>
        <w:t>NOTE:</w:t>
      </w:r>
      <w:r w:rsidRPr="00320CAD">
        <w:rPr>
          <w:rFonts w:ascii="Century Gothic" w:eastAsia="Times New Roman" w:hAnsi="Century Gothic" w:cs="Arial"/>
          <w:color w:val="353535"/>
        </w:rPr>
        <w:t xml:space="preserve"> </w:t>
      </w:r>
      <w:r w:rsidRPr="00320CAD">
        <w:rPr>
          <w:rFonts w:ascii="Century Gothic" w:eastAsia="Times New Roman" w:hAnsi="Century Gothic" w:cs="Arial"/>
          <w:i/>
          <w:iCs/>
          <w:color w:val="353535"/>
        </w:rPr>
        <w:t>Where data was known, the most common vessel types involved in reported accidents were open motorboats (45%), personal watercraft (19%), and cabin motorboats (16%).</w:t>
      </w:r>
    </w:p>
    <w:p w14:paraId="3C0FE010" w14:textId="0815B2E0" w:rsidR="007D1C7F" w:rsidRPr="00320CAD" w:rsidRDefault="007D1C7F" w:rsidP="00320CAD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b/>
          <w:bCs/>
          <w:color w:val="353535"/>
          <w:u w:val="single"/>
        </w:rPr>
        <w:t>Top 10 states for boating accidents</w:t>
      </w:r>
      <w:r w:rsidRPr="00320CAD">
        <w:rPr>
          <w:rFonts w:ascii="Century Gothic" w:eastAsia="Times New Roman" w:hAnsi="Century Gothic" w:cs="Arial"/>
          <w:b/>
          <w:bCs/>
          <w:color w:val="353535"/>
        </w:rPr>
        <w:t>:</w:t>
      </w:r>
      <w:r w:rsidRPr="00320CAD">
        <w:rPr>
          <w:rFonts w:ascii="Century Gothic" w:eastAsia="Times New Roman" w:hAnsi="Century Gothic" w:cs="Arial"/>
          <w:color w:val="353535"/>
        </w:rPr>
        <w:t xml:space="preserve"> </w:t>
      </w:r>
    </w:p>
    <w:p w14:paraId="217702B6" w14:textId="47C7D745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 xml:space="preserve"> Florida (679 accidents; 55 deaths)</w:t>
      </w:r>
    </w:p>
    <w:p w14:paraId="6DAFBA1C" w14:textId="77777777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California (324 accidents; 37 deaths)</w:t>
      </w:r>
    </w:p>
    <w:p w14:paraId="0983B4A5" w14:textId="77777777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Texas (184 accidents; 38 deaths)</w:t>
      </w:r>
    </w:p>
    <w:p w14:paraId="1CB5C3C8" w14:textId="77777777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New York (165 accidents; 17 deaths)</w:t>
      </w:r>
    </w:p>
    <w:p w14:paraId="04249F16" w14:textId="77777777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Missouri (145 accidents; 18 deaths)</w:t>
      </w:r>
    </w:p>
    <w:p w14:paraId="0BF7B0CA" w14:textId="77777777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South Carolina (141 accidents; 15 deaths)</w:t>
      </w:r>
    </w:p>
    <w:p w14:paraId="3845E5CA" w14:textId="77777777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Maryland (130 accidents; 12 deaths)</w:t>
      </w:r>
    </w:p>
    <w:p w14:paraId="6C8D36E5" w14:textId="77777777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Michigan (128 accidents; 21 deaths)</w:t>
      </w:r>
    </w:p>
    <w:p w14:paraId="007FD818" w14:textId="77777777" w:rsidR="007D1C7F" w:rsidRPr="00320CAD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North Carolina (128 accidents; 15 deaths)</w:t>
      </w:r>
    </w:p>
    <w:p w14:paraId="4391CF95" w14:textId="1B545F09" w:rsidR="007D1C7F" w:rsidRDefault="007D1C7F" w:rsidP="00320CAD">
      <w:pPr>
        <w:numPr>
          <w:ilvl w:val="0"/>
          <w:numId w:val="3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Ohio (128 accidents; 12 deaths)</w:t>
      </w:r>
    </w:p>
    <w:p w14:paraId="0ECE936C" w14:textId="77777777" w:rsidR="00320CAD" w:rsidRPr="00320CAD" w:rsidRDefault="00320CAD" w:rsidP="00320CAD">
      <w:pPr>
        <w:spacing w:after="0" w:line="240" w:lineRule="auto"/>
        <w:ind w:left="360"/>
        <w:textAlignment w:val="baseline"/>
        <w:rPr>
          <w:rFonts w:ascii="Century Gothic" w:eastAsia="Times New Roman" w:hAnsi="Century Gothic" w:cs="Arial"/>
          <w:color w:val="353535"/>
        </w:rPr>
      </w:pPr>
    </w:p>
    <w:p w14:paraId="704D2A7E" w14:textId="0593FAA2" w:rsidR="00772FAE" w:rsidRPr="00320CAD" w:rsidRDefault="00772FAE" w:rsidP="00320CAD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color w:val="002060"/>
        </w:rPr>
      </w:pPr>
      <w:r w:rsidRPr="00320CAD">
        <w:rPr>
          <w:rFonts w:ascii="Century Gothic" w:eastAsia="Times New Roman" w:hAnsi="Century Gothic" w:cs="Arial"/>
          <w:b/>
          <w:bCs/>
          <w:color w:val="002060"/>
          <w:u w:val="single"/>
        </w:rPr>
        <w:t>Boating Fatalities</w:t>
      </w:r>
      <w:r w:rsidRPr="00320CAD">
        <w:rPr>
          <w:rFonts w:ascii="Century Gothic" w:eastAsia="Times New Roman" w:hAnsi="Century Gothic" w:cs="Arial"/>
          <w:b/>
          <w:bCs/>
          <w:color w:val="002060"/>
        </w:rPr>
        <w:t xml:space="preserve"> </w:t>
      </w:r>
    </w:p>
    <w:p w14:paraId="7150B9E9" w14:textId="1902D2B3" w:rsidR="00772FAE" w:rsidRPr="00320CAD" w:rsidRDefault="00772FAE" w:rsidP="00320CAD">
      <w:pPr>
        <w:numPr>
          <w:ilvl w:val="0"/>
          <w:numId w:val="13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Times New Roman"/>
          <w:b/>
          <w:bCs/>
          <w:color w:val="353535"/>
        </w:rPr>
        <w:t>Fatality rate:</w:t>
      </w:r>
      <w:r w:rsidRPr="00320CAD">
        <w:rPr>
          <w:rFonts w:ascii="Century Gothic" w:eastAsia="Times New Roman" w:hAnsi="Century Gothic" w:cs="Times New Roman"/>
          <w:color w:val="353535"/>
        </w:rPr>
        <w:t xml:space="preserve"> 5.2 deaths per 100,000 registered recreational vessels, a 1.9% decrease from recorded 2018 fatality rate of 5.3 deaths per 100,000 registered recreational vessels</w:t>
      </w:r>
      <w:r w:rsidR="007D1C7F" w:rsidRPr="00320CAD">
        <w:rPr>
          <w:rFonts w:ascii="Century Gothic" w:eastAsia="Times New Roman" w:hAnsi="Century Gothic" w:cs="Times New Roman"/>
          <w:color w:val="353535"/>
        </w:rPr>
        <w:t>.</w:t>
      </w:r>
    </w:p>
    <w:p w14:paraId="62A08F15" w14:textId="77777777" w:rsidR="000213DE" w:rsidRPr="00320CAD" w:rsidRDefault="0078421A" w:rsidP="00320CA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002060"/>
        </w:rPr>
      </w:pPr>
      <w:r w:rsidRPr="00320CAD">
        <w:rPr>
          <w:rFonts w:ascii="Century Gothic" w:eastAsia="Times New Roman" w:hAnsi="Century Gothic" w:cs="Arial"/>
          <w:i/>
          <w:iCs/>
          <w:color w:val="002060"/>
        </w:rPr>
        <w:t xml:space="preserve">Alcohol use is the leading known contributing factor in </w:t>
      </w:r>
      <w:r w:rsidR="00BC54C4" w:rsidRPr="00320CAD">
        <w:rPr>
          <w:rFonts w:ascii="Century Gothic" w:eastAsia="Times New Roman" w:hAnsi="Century Gothic" w:cs="Arial"/>
          <w:i/>
          <w:iCs/>
          <w:color w:val="002060"/>
        </w:rPr>
        <w:t xml:space="preserve">boating </w:t>
      </w:r>
      <w:r w:rsidRPr="00320CAD">
        <w:rPr>
          <w:rFonts w:ascii="Century Gothic" w:eastAsia="Times New Roman" w:hAnsi="Century Gothic" w:cs="Arial"/>
          <w:i/>
          <w:iCs/>
          <w:color w:val="002060"/>
        </w:rPr>
        <w:t>fatal</w:t>
      </w:r>
      <w:r w:rsidR="00BC54C4" w:rsidRPr="00320CAD">
        <w:rPr>
          <w:rFonts w:ascii="Century Gothic" w:eastAsia="Times New Roman" w:hAnsi="Century Gothic" w:cs="Arial"/>
          <w:i/>
          <w:iCs/>
          <w:color w:val="002060"/>
        </w:rPr>
        <w:t>ities; wh</w:t>
      </w:r>
      <w:r w:rsidRPr="00320CAD">
        <w:rPr>
          <w:rFonts w:ascii="Century Gothic" w:eastAsia="Times New Roman" w:hAnsi="Century Gothic" w:cs="Arial"/>
          <w:i/>
          <w:iCs/>
          <w:color w:val="002060"/>
        </w:rPr>
        <w:t xml:space="preserve">ere the primary cause was known, alcohol was listed as the leading factor in 23% of </w:t>
      </w:r>
      <w:proofErr w:type="gramStart"/>
      <w:r w:rsidRPr="00320CAD">
        <w:rPr>
          <w:rFonts w:ascii="Century Gothic" w:eastAsia="Times New Roman" w:hAnsi="Century Gothic" w:cs="Arial"/>
          <w:i/>
          <w:iCs/>
          <w:color w:val="002060"/>
        </w:rPr>
        <w:t>deaths</w:t>
      </w:r>
      <w:proofErr w:type="gramEnd"/>
    </w:p>
    <w:p w14:paraId="38BD2E51" w14:textId="00166271" w:rsidR="00320CAD" w:rsidRPr="00320CAD" w:rsidRDefault="00320CAD" w:rsidP="00320CAD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/>
          <w:bCs/>
        </w:rPr>
      </w:pPr>
      <w:r w:rsidRPr="00320CAD">
        <w:rPr>
          <w:rFonts w:ascii="Century Gothic" w:hAnsi="Century Gothic"/>
          <w:bCs/>
        </w:rPr>
        <w:t xml:space="preserve">Alcohol was the primary contributing factor in 113 U.S. boating fatalities in 2019. </w:t>
      </w:r>
    </w:p>
    <w:p w14:paraId="505C5D20" w14:textId="77777777" w:rsidR="00320CAD" w:rsidRPr="00320CAD" w:rsidRDefault="00320CAD" w:rsidP="00320CAD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/>
        </w:rPr>
      </w:pPr>
      <w:r w:rsidRPr="00320CAD">
        <w:rPr>
          <w:rFonts w:ascii="Century Gothic" w:hAnsi="Century Gothic"/>
        </w:rPr>
        <w:t>Alcohol was the primary contributing factor in more than 18 percent of U.S. boating deaths in 2019 from all causes, including those attributed to equipment failure and weather.</w:t>
      </w:r>
    </w:p>
    <w:p w14:paraId="2EB0CC62" w14:textId="415D46AC" w:rsidR="000213DE" w:rsidRPr="00320CAD" w:rsidRDefault="000213DE" w:rsidP="00320CA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entury Gothic" w:eastAsia="Times New Roman" w:hAnsi="Century Gothic" w:cs="Arial"/>
          <w:i/>
          <w:iCs/>
          <w:color w:val="002060"/>
        </w:rPr>
      </w:pPr>
      <w:r w:rsidRPr="00320CAD">
        <w:rPr>
          <w:rFonts w:ascii="Century Gothic" w:hAnsi="Century Gothic"/>
        </w:rPr>
        <w:t xml:space="preserve">The Coast Guard estimates a boat operator with a blood alcohol concentration above .10 percent is more than 10 times as likely to die in a boating accident than a sober </w:t>
      </w:r>
      <w:proofErr w:type="gramStart"/>
      <w:r w:rsidRPr="00320CAD">
        <w:rPr>
          <w:rFonts w:ascii="Century Gothic" w:hAnsi="Century Gothic"/>
        </w:rPr>
        <w:t>operator</w:t>
      </w:r>
      <w:proofErr w:type="gramEnd"/>
    </w:p>
    <w:p w14:paraId="12651A8D" w14:textId="3C5BA1B5" w:rsidR="007D1C7F" w:rsidRPr="00320CAD" w:rsidRDefault="007D1C7F" w:rsidP="00320CA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b/>
          <w:bCs/>
          <w:color w:val="353535"/>
          <w:u w:val="single"/>
        </w:rPr>
        <w:t>Top states by recreational boating deaths include</w:t>
      </w:r>
      <w:r w:rsidRPr="00320CAD">
        <w:rPr>
          <w:rFonts w:ascii="Century Gothic" w:eastAsia="Times New Roman" w:hAnsi="Century Gothic" w:cs="Arial"/>
          <w:color w:val="353535"/>
        </w:rPr>
        <w:t xml:space="preserve">:  </w:t>
      </w:r>
    </w:p>
    <w:p w14:paraId="75298C3F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Florida (62 deaths; 421 injuries)</w:t>
      </w:r>
    </w:p>
    <w:p w14:paraId="55F6466B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Texas (43 deaths; 122 injuries)</w:t>
      </w:r>
    </w:p>
    <w:p w14:paraId="63F868AF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California (39 deaths; 199 injuries)</w:t>
      </w:r>
    </w:p>
    <w:p w14:paraId="4BD4FE68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Alabama (28 deaths; 58 injuries)</w:t>
      </w:r>
    </w:p>
    <w:p w14:paraId="4530A6C9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Washington (27 deaths; 55 injuries)</w:t>
      </w:r>
    </w:p>
    <w:p w14:paraId="767B4009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Georgia (23 deaths; 57 injuries)</w:t>
      </w:r>
    </w:p>
    <w:p w14:paraId="7154A35C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Michigan (22 deaths; 74 injuries)</w:t>
      </w:r>
    </w:p>
    <w:p w14:paraId="570BF7A2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Louisiana (20 deaths; 96 injuries)</w:t>
      </w:r>
    </w:p>
    <w:p w14:paraId="0127DB65" w14:textId="77777777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Virginia (20 deaths; 33 injuries)</w:t>
      </w:r>
    </w:p>
    <w:p w14:paraId="7118677D" w14:textId="4E3912DC" w:rsidR="0078421A" w:rsidRPr="00320CAD" w:rsidRDefault="0078421A" w:rsidP="00320CAD">
      <w:pPr>
        <w:numPr>
          <w:ilvl w:val="0"/>
          <w:numId w:val="2"/>
        </w:numPr>
        <w:spacing w:after="0" w:line="240" w:lineRule="auto"/>
        <w:ind w:left="1397"/>
        <w:textAlignment w:val="baseline"/>
        <w:rPr>
          <w:rFonts w:ascii="Century Gothic" w:eastAsia="Times New Roman" w:hAnsi="Century Gothic" w:cs="Arial"/>
          <w:color w:val="353535"/>
        </w:rPr>
      </w:pPr>
      <w:r w:rsidRPr="00320CAD">
        <w:rPr>
          <w:rFonts w:ascii="Century Gothic" w:eastAsia="Times New Roman" w:hAnsi="Century Gothic" w:cs="Arial"/>
          <w:color w:val="353535"/>
        </w:rPr>
        <w:t>Illinois (18 deaths; 41 injuries)</w:t>
      </w:r>
      <w:r w:rsidR="000213DE" w:rsidRPr="00320CAD">
        <w:rPr>
          <w:rFonts w:ascii="Century Gothic" w:eastAsia="Times New Roman" w:hAnsi="Century Gothic" w:cs="Arial"/>
          <w:color w:val="353535"/>
        </w:rPr>
        <w:t xml:space="preserve"> </w:t>
      </w:r>
    </w:p>
    <w:p w14:paraId="7E955158" w14:textId="415E8B7D" w:rsidR="000213DE" w:rsidRPr="00320CAD" w:rsidRDefault="000213DE" w:rsidP="00320CAD">
      <w:pPr>
        <w:spacing w:after="0" w:line="240" w:lineRule="auto"/>
        <w:textAlignment w:val="baseline"/>
        <w:rPr>
          <w:rFonts w:ascii="Century Gothic" w:eastAsia="Times New Roman" w:hAnsi="Century Gothic" w:cs="Arial"/>
          <w:color w:val="353535"/>
        </w:rPr>
      </w:pPr>
    </w:p>
    <w:p w14:paraId="16D8ECF6" w14:textId="25FA3DB9" w:rsidR="000213DE" w:rsidRPr="00320CAD" w:rsidRDefault="000213DE" w:rsidP="00320CAD">
      <w:pPr>
        <w:pStyle w:val="Heading4"/>
        <w:spacing w:before="0"/>
        <w:rPr>
          <w:b/>
          <w:bCs/>
          <w:i w:val="0"/>
          <w:iCs w:val="0"/>
          <w:u w:val="single"/>
        </w:rPr>
      </w:pPr>
      <w:r w:rsidRPr="00320CAD">
        <w:rPr>
          <w:b/>
          <w:bCs/>
          <w:i w:val="0"/>
          <w:iCs w:val="0"/>
          <w:u w:val="single"/>
        </w:rPr>
        <w:t xml:space="preserve">ADDITIONAL MEDIA SUPPORT </w:t>
      </w:r>
    </w:p>
    <w:p w14:paraId="631A1140" w14:textId="4AE41A99" w:rsidR="000213DE" w:rsidRPr="00320CAD" w:rsidRDefault="000213DE" w:rsidP="00320CAD">
      <w:pPr>
        <w:spacing w:after="0" w:line="240" w:lineRule="auto"/>
        <w:rPr>
          <w:rFonts w:ascii="Century Gothic" w:eastAsia="Times New Roman" w:hAnsi="Century Gothic" w:cs="Arial"/>
          <w:color w:val="353535"/>
        </w:rPr>
      </w:pPr>
      <w:r w:rsidRPr="00320CAD">
        <w:t xml:space="preserve">The communications team at the Water Sports Foundation has designed the </w:t>
      </w:r>
      <w:r w:rsidRPr="00320CAD">
        <w:rPr>
          <w:b/>
          <w:bCs/>
        </w:rPr>
        <w:t>National Boating Safety Media Center</w:t>
      </w:r>
      <w:r w:rsidRPr="00320CAD">
        <w:t xml:space="preserve"> to provide relevant and accurate content, imagery, </w:t>
      </w:r>
      <w:proofErr w:type="gramStart"/>
      <w:r w:rsidRPr="00320CAD">
        <w:t>experts</w:t>
      </w:r>
      <w:proofErr w:type="gramEnd"/>
      <w:r w:rsidRPr="00320CAD">
        <w:t xml:space="preserve"> and resources to assist journalists in story development. If further assistance is needed, please feel free to </w:t>
      </w:r>
      <w:r w:rsidRPr="00320CAD">
        <w:rPr>
          <w:b/>
          <w:bCs/>
          <w:color w:val="002060"/>
        </w:rPr>
        <w:t>Contact Us</w:t>
      </w:r>
      <w:r w:rsidRPr="00320CAD">
        <w:rPr>
          <w:color w:val="002060"/>
        </w:rPr>
        <w:t xml:space="preserve"> </w:t>
      </w:r>
      <w:r w:rsidRPr="00320CAD">
        <w:t xml:space="preserve">for additional support. </w:t>
      </w:r>
      <w:hyperlink r:id="rId8" w:history="1">
        <w:r w:rsidRPr="00320CAD">
          <w:rPr>
            <w:rStyle w:val="Hyperlink"/>
          </w:rPr>
          <w:t>https://www.watersportsfoundation.com/about/contact-us/</w:t>
        </w:r>
      </w:hyperlink>
      <w:r w:rsidR="00320CAD">
        <w:t xml:space="preserve"> </w:t>
      </w:r>
    </w:p>
    <w:sectPr w:rsidR="000213DE" w:rsidRPr="0032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kkit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C8F"/>
    <w:multiLevelType w:val="hybridMultilevel"/>
    <w:tmpl w:val="E2DE04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32C30"/>
    <w:multiLevelType w:val="multilevel"/>
    <w:tmpl w:val="1B8E59F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entury Gothic" w:hAnsi="Century Gothic" w:cs="Courier New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010D8"/>
    <w:multiLevelType w:val="hybridMultilevel"/>
    <w:tmpl w:val="D6E2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185"/>
    <w:multiLevelType w:val="multilevel"/>
    <w:tmpl w:val="A17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869D1"/>
    <w:multiLevelType w:val="multilevel"/>
    <w:tmpl w:val="6B0C18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5" w15:restartNumberingAfterBreak="0">
    <w:nsid w:val="16BB475C"/>
    <w:multiLevelType w:val="hybridMultilevel"/>
    <w:tmpl w:val="04DA73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C2F1A"/>
    <w:multiLevelType w:val="multilevel"/>
    <w:tmpl w:val="6E12025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entury Gothic" w:hAnsi="Century Gothic" w:cs="Courier New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74E8A"/>
    <w:multiLevelType w:val="hybridMultilevel"/>
    <w:tmpl w:val="787CB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62FD3"/>
    <w:multiLevelType w:val="multilevel"/>
    <w:tmpl w:val="92F4FF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FF26A5"/>
    <w:multiLevelType w:val="hybridMultilevel"/>
    <w:tmpl w:val="A3A2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05517"/>
    <w:multiLevelType w:val="multilevel"/>
    <w:tmpl w:val="2B48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10F76"/>
    <w:multiLevelType w:val="hybridMultilevel"/>
    <w:tmpl w:val="63004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21CC"/>
    <w:multiLevelType w:val="hybridMultilevel"/>
    <w:tmpl w:val="A50078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EA4AF4"/>
    <w:multiLevelType w:val="multilevel"/>
    <w:tmpl w:val="DA66FFA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entury Gothic" w:hAnsi="Century Gothic" w:cs="Courier New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C76C07"/>
    <w:multiLevelType w:val="hybridMultilevel"/>
    <w:tmpl w:val="3F4CA8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1A"/>
    <w:rsid w:val="00012D04"/>
    <w:rsid w:val="000213DE"/>
    <w:rsid w:val="001B55F1"/>
    <w:rsid w:val="00213CC7"/>
    <w:rsid w:val="00320CAD"/>
    <w:rsid w:val="00527C3E"/>
    <w:rsid w:val="00772FAE"/>
    <w:rsid w:val="0078421A"/>
    <w:rsid w:val="007D1C7F"/>
    <w:rsid w:val="00BC54C4"/>
    <w:rsid w:val="00E060CF"/>
    <w:rsid w:val="00F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FB48"/>
  <w15:chartTrackingRefBased/>
  <w15:docId w15:val="{AC9F571B-147A-4751-9458-D73CD675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C3E"/>
    <w:pPr>
      <w:keepNext/>
      <w:spacing w:line="252" w:lineRule="auto"/>
      <w:jc w:val="center"/>
      <w:outlineLvl w:val="0"/>
    </w:pPr>
    <w:rPr>
      <w:rFonts w:ascii="Calibri" w:hAnsi="Calibri" w:cs="Calibri"/>
      <w:b/>
      <w:bCs/>
      <w:kern w:val="36"/>
      <w:sz w:val="36"/>
      <w:szCs w:val="36"/>
      <w:u w:val="singl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27C3E"/>
    <w:pPr>
      <w:keepNext/>
      <w:spacing w:line="252" w:lineRule="auto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13D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21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7C3E"/>
    <w:rPr>
      <w:rFonts w:ascii="Calibri" w:hAnsi="Calibri" w:cs="Calibri"/>
      <w:b/>
      <w:bCs/>
      <w:kern w:val="36"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C3E"/>
    <w:rPr>
      <w:rFonts w:ascii="Calibri" w:hAnsi="Calibri" w:cs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27C3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D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tactInformation">
    <w:name w:val="Contact Information"/>
    <w:basedOn w:val="Normal"/>
    <w:rsid w:val="00012D04"/>
    <w:pPr>
      <w:spacing w:after="0" w:line="180" w:lineRule="exact"/>
    </w:pPr>
    <w:rPr>
      <w:rFonts w:ascii="Century Gothic" w:eastAsia="Times New Roman" w:hAnsi="Century Gothic" w:cs="Times New Roman"/>
      <w:color w:val="2A5A78"/>
      <w:spacing w:val="-5"/>
      <w:sz w:val="16"/>
      <w:szCs w:val="20"/>
    </w:rPr>
  </w:style>
  <w:style w:type="paragraph" w:customStyle="1" w:styleId="ContactName">
    <w:name w:val="Contact Name"/>
    <w:basedOn w:val="ContactInformation"/>
    <w:rsid w:val="00012D04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E060CF"/>
    <w:pPr>
      <w:spacing w:before="100" w:beforeAutospacing="1" w:after="0" w:line="240" w:lineRule="auto"/>
      <w:jc w:val="center"/>
      <w:outlineLvl w:val="2"/>
    </w:pPr>
    <w:rPr>
      <w:rFonts w:ascii="Century Gothic" w:eastAsia="Times New Roman" w:hAnsi="Century Gothic" w:cs="Times New Roman"/>
      <w:color w:val="173476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E060CF"/>
    <w:rPr>
      <w:rFonts w:ascii="Century Gothic" w:eastAsia="Times New Roman" w:hAnsi="Century Gothic" w:cs="Times New Roman"/>
      <w:color w:val="173476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E060CF"/>
    <w:pPr>
      <w:spacing w:before="100" w:beforeAutospacing="1" w:after="0" w:line="240" w:lineRule="auto"/>
      <w:outlineLvl w:val="2"/>
    </w:pPr>
    <w:rPr>
      <w:rFonts w:ascii="Rokkitt" w:eastAsia="Times New Roman" w:hAnsi="Rokkitt" w:cs="Times New Roman"/>
      <w:b/>
      <w:bCs/>
      <w:color w:val="173476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rsid w:val="00E060CF"/>
    <w:rPr>
      <w:rFonts w:ascii="Rokkitt" w:eastAsia="Times New Roman" w:hAnsi="Rokkitt" w:cs="Times New Roman"/>
      <w:b/>
      <w:bCs/>
      <w:color w:val="173476"/>
      <w:sz w:val="36"/>
      <w:szCs w:val="36"/>
    </w:rPr>
  </w:style>
  <w:style w:type="character" w:customStyle="1" w:styleId="Heading4Char">
    <w:name w:val="Heading 4 Char"/>
    <w:basedOn w:val="DefaultParagraphFont"/>
    <w:link w:val="Heading4"/>
    <w:semiHidden/>
    <w:rsid w:val="000213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24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69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3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3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32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96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4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81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21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74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2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87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sportsfoundation.com/about/contact-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tersportsfoundation.com/me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da@WaterSportsFoundatio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Kenton Smith</dc:creator>
  <cp:keywords/>
  <dc:description/>
  <cp:lastModifiedBy>Wanda Kenton Smith</cp:lastModifiedBy>
  <cp:revision>2</cp:revision>
  <dcterms:created xsi:type="dcterms:W3CDTF">2021-04-01T12:20:00Z</dcterms:created>
  <dcterms:modified xsi:type="dcterms:W3CDTF">2021-04-01T12:20:00Z</dcterms:modified>
</cp:coreProperties>
</file>